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F8" w:rsidRPr="005F46FD" w:rsidRDefault="00293BF8" w:rsidP="00293BF8">
      <w:pPr>
        <w:tabs>
          <w:tab w:val="left" w:pos="663"/>
          <w:tab w:val="left" w:pos="1238"/>
          <w:tab w:val="left" w:pos="5297"/>
          <w:tab w:val="left" w:pos="6733"/>
        </w:tabs>
        <w:spacing w:after="0" w:line="240" w:lineRule="auto"/>
        <w:ind w:left="142"/>
        <w:rPr>
          <w:rFonts w:eastAsia="Times New Roman" w:cs="Arial"/>
          <w:b/>
          <w:bCs/>
          <w:color w:val="000080"/>
          <w:sz w:val="28"/>
          <w:lang w:eastAsia="fr-CA"/>
        </w:rPr>
      </w:pPr>
      <w:r w:rsidRPr="005F46FD">
        <w:rPr>
          <w:rFonts w:eastAsia="Times New Roman" w:cs="Arial"/>
          <w:b/>
          <w:bCs/>
          <w:color w:val="000080"/>
          <w:sz w:val="28"/>
          <w:lang w:eastAsia="fr-CA"/>
        </w:rPr>
        <w:t>Fédération des harmonies et orchestres symphoniques du Québec</w:t>
      </w:r>
    </w:p>
    <w:p w:rsidR="00293BF8" w:rsidRDefault="00293BF8" w:rsidP="00293BF8">
      <w:pPr>
        <w:tabs>
          <w:tab w:val="left" w:pos="663"/>
          <w:tab w:val="left" w:pos="1238"/>
          <w:tab w:val="left" w:pos="5297"/>
          <w:tab w:val="left" w:pos="6733"/>
        </w:tabs>
        <w:spacing w:after="0" w:line="240" w:lineRule="auto"/>
        <w:ind w:left="142"/>
        <w:rPr>
          <w:rFonts w:eastAsia="Times New Roman" w:cs="Arial"/>
          <w:b/>
          <w:bCs/>
          <w:color w:val="000080"/>
          <w:sz w:val="28"/>
          <w:lang w:eastAsia="fr-CA"/>
        </w:rPr>
      </w:pPr>
    </w:p>
    <w:p w:rsidR="00293BF8" w:rsidRPr="005F46FD" w:rsidRDefault="00293BF8" w:rsidP="00293BF8">
      <w:pPr>
        <w:tabs>
          <w:tab w:val="left" w:pos="663"/>
          <w:tab w:val="left" w:pos="1238"/>
          <w:tab w:val="left" w:pos="5297"/>
          <w:tab w:val="left" w:pos="6733"/>
        </w:tabs>
        <w:spacing w:after="0" w:line="240" w:lineRule="auto"/>
        <w:ind w:left="142"/>
        <w:rPr>
          <w:rFonts w:eastAsia="Times New Roman" w:cs="Arial"/>
          <w:b/>
          <w:bCs/>
          <w:color w:val="000080"/>
          <w:sz w:val="32"/>
          <w:lang w:eastAsia="fr-CA"/>
        </w:rPr>
      </w:pPr>
      <w:r w:rsidRPr="005F46FD">
        <w:rPr>
          <w:rFonts w:eastAsia="Times New Roman" w:cs="Arial"/>
          <w:b/>
          <w:bCs/>
          <w:color w:val="000080"/>
          <w:sz w:val="32"/>
          <w:lang w:eastAsia="fr-CA"/>
        </w:rPr>
        <w:t>Présentation des chèques du 1</w:t>
      </w:r>
      <w:r w:rsidRPr="005F46FD">
        <w:rPr>
          <w:rFonts w:eastAsia="Times New Roman" w:cs="Arial"/>
          <w:b/>
          <w:bCs/>
          <w:color w:val="000080"/>
          <w:sz w:val="32"/>
          <w:vertAlign w:val="superscript"/>
          <w:lang w:eastAsia="fr-CA"/>
        </w:rPr>
        <w:t>er</w:t>
      </w:r>
      <w:r w:rsidRPr="005F46FD">
        <w:rPr>
          <w:rFonts w:eastAsia="Times New Roman" w:cs="Arial"/>
          <w:b/>
          <w:bCs/>
          <w:color w:val="000080"/>
          <w:sz w:val="32"/>
          <w:lang w:eastAsia="fr-CA"/>
        </w:rPr>
        <w:t xml:space="preserve"> </w:t>
      </w:r>
      <w:r>
        <w:rPr>
          <w:rFonts w:eastAsia="Times New Roman" w:cs="Arial"/>
          <w:b/>
          <w:bCs/>
          <w:color w:val="000080"/>
          <w:sz w:val="32"/>
          <w:lang w:eastAsia="fr-CA"/>
        </w:rPr>
        <w:t>novembre</w:t>
      </w:r>
      <w:r w:rsidRPr="005F46FD">
        <w:rPr>
          <w:rFonts w:eastAsia="Times New Roman" w:cs="Arial"/>
          <w:b/>
          <w:bCs/>
          <w:color w:val="000080"/>
          <w:sz w:val="32"/>
          <w:lang w:eastAsia="fr-CA"/>
        </w:rPr>
        <w:t xml:space="preserve"> au 31 </w:t>
      </w:r>
      <w:r>
        <w:rPr>
          <w:rFonts w:eastAsia="Times New Roman" w:cs="Arial"/>
          <w:b/>
          <w:bCs/>
          <w:color w:val="000080"/>
          <w:sz w:val="32"/>
          <w:lang w:eastAsia="fr-CA"/>
        </w:rPr>
        <w:t>décembre</w:t>
      </w:r>
      <w:r w:rsidRPr="005F46FD">
        <w:rPr>
          <w:rFonts w:eastAsia="Times New Roman" w:cs="Arial"/>
          <w:b/>
          <w:bCs/>
          <w:color w:val="000080"/>
          <w:sz w:val="32"/>
          <w:lang w:eastAsia="fr-CA"/>
        </w:rPr>
        <w:t xml:space="preserve"> 2017</w:t>
      </w:r>
    </w:p>
    <w:p w:rsidR="00293BF8" w:rsidRPr="005F46FD" w:rsidRDefault="00293BF8" w:rsidP="00293BF8">
      <w:pPr>
        <w:tabs>
          <w:tab w:val="left" w:pos="663"/>
          <w:tab w:val="left" w:pos="1238"/>
          <w:tab w:val="left" w:pos="5297"/>
          <w:tab w:val="left" w:pos="6733"/>
        </w:tabs>
        <w:spacing w:after="0" w:line="240" w:lineRule="auto"/>
        <w:ind w:left="70"/>
        <w:rPr>
          <w:rFonts w:eastAsia="Times New Roman" w:cs="Arial"/>
          <w:b/>
          <w:bCs/>
          <w:color w:val="000080"/>
          <w:lang w:eastAsia="fr-CA"/>
        </w:rPr>
      </w:pPr>
      <w:r w:rsidRPr="005F46FD">
        <w:rPr>
          <w:rFonts w:eastAsia="Times New Roman" w:cs="Arial"/>
          <w:b/>
          <w:bCs/>
          <w:color w:val="000080"/>
          <w:lang w:eastAsia="fr-CA"/>
        </w:rPr>
        <w:tab/>
      </w:r>
      <w:r w:rsidRPr="005F46FD">
        <w:rPr>
          <w:rFonts w:eastAsia="Times New Roman" w:cs="Arial"/>
          <w:b/>
          <w:bCs/>
          <w:color w:val="000080"/>
          <w:lang w:eastAsia="fr-CA"/>
        </w:rPr>
        <w:tab/>
      </w:r>
      <w:r w:rsidRPr="005F46FD">
        <w:rPr>
          <w:rFonts w:eastAsia="Times New Roman" w:cs="Arial"/>
          <w:b/>
          <w:bCs/>
          <w:color w:val="000080"/>
          <w:lang w:eastAsia="fr-CA"/>
        </w:rPr>
        <w:tab/>
      </w:r>
      <w:r w:rsidRPr="005F46FD">
        <w:rPr>
          <w:rFonts w:eastAsia="Times New Roman" w:cs="Arial"/>
          <w:b/>
          <w:bCs/>
          <w:color w:val="000080"/>
          <w:lang w:eastAsia="fr-CA"/>
        </w:rPr>
        <w:tab/>
      </w:r>
    </w:p>
    <w:p w:rsidR="001F5DCA" w:rsidRPr="001F5DCA" w:rsidRDefault="001F5DCA" w:rsidP="001F5DCA">
      <w:pPr>
        <w:tabs>
          <w:tab w:val="left" w:pos="580"/>
          <w:tab w:val="left" w:pos="1067"/>
          <w:tab w:val="left" w:pos="3873"/>
          <w:tab w:val="left" w:pos="4633"/>
        </w:tabs>
        <w:spacing w:after="0" w:line="240" w:lineRule="auto"/>
        <w:ind w:left="75"/>
        <w:rPr>
          <w:rFonts w:eastAsia="Times New Roman" w:cs="Arial"/>
          <w:b/>
          <w:bCs/>
          <w:color w:val="000080"/>
          <w:lang w:eastAsia="fr-CA"/>
        </w:rPr>
      </w:pPr>
      <w:bookmarkStart w:id="0" w:name="_GoBack"/>
      <w:bookmarkEnd w:id="0"/>
      <w:r w:rsidRPr="001F5DCA">
        <w:rPr>
          <w:rFonts w:eastAsia="Times New Roman" w:cs="Arial"/>
          <w:b/>
          <w:bCs/>
          <w:color w:val="000080"/>
          <w:lang w:eastAsia="fr-CA"/>
        </w:rPr>
        <w:tab/>
      </w:r>
      <w:r w:rsidRPr="001F5DCA">
        <w:rPr>
          <w:rFonts w:eastAsia="Times New Roman" w:cs="Arial"/>
          <w:b/>
          <w:bCs/>
          <w:color w:val="000080"/>
          <w:lang w:eastAsia="fr-CA"/>
        </w:rPr>
        <w:tab/>
      </w:r>
      <w:r w:rsidRPr="001F5DCA">
        <w:rPr>
          <w:rFonts w:eastAsia="Times New Roman" w:cs="Arial"/>
          <w:b/>
          <w:bCs/>
          <w:color w:val="000080"/>
          <w:lang w:eastAsia="fr-CA"/>
        </w:rPr>
        <w:tab/>
      </w:r>
      <w:r w:rsidRPr="001F5DCA">
        <w:rPr>
          <w:rFonts w:eastAsia="Times New Roman" w:cs="Arial"/>
          <w:b/>
          <w:bCs/>
          <w:color w:val="000080"/>
          <w:lang w:eastAsia="fr-CA"/>
        </w:rPr>
        <w:tab/>
      </w:r>
    </w:p>
    <w:tbl>
      <w:tblPr>
        <w:tblW w:w="94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5216"/>
        <w:gridCol w:w="1029"/>
        <w:gridCol w:w="1474"/>
      </w:tblGrid>
      <w:tr w:rsidR="00293BF8" w:rsidRPr="006E1FA1" w:rsidTr="00293BF8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Mois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Date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Description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# chèque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 xml:space="preserve"> Banque </w:t>
            </w:r>
          </w:p>
        </w:tc>
      </w:tr>
      <w:tr w:rsidR="000E18E6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8E6" w:rsidRPr="001F5DCA" w:rsidRDefault="000E18E6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8E6" w:rsidRPr="001F5DCA" w:rsidRDefault="000E18E6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8E6" w:rsidRPr="001F5DCA" w:rsidRDefault="000E18E6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8E6" w:rsidRPr="001F5DCA" w:rsidRDefault="000E18E6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8E6" w:rsidRPr="001F5DCA" w:rsidRDefault="000E18E6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Daphné Bisson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149,41 $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8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Services de cartes Desjardins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589,24 $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16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RLSQ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3</w:t>
            </w:r>
            <w:r w:rsidR="006E1FA1" w:rsidRPr="006E1FA1">
              <w:rPr>
                <w:rFonts w:eastAsia="Times New Roman" w:cs="Arial"/>
                <w:lang w:eastAsia="fr-CA"/>
              </w:rPr>
              <w:t xml:space="preserve"> </w:t>
            </w:r>
            <w:r w:rsidRPr="001F5DCA">
              <w:rPr>
                <w:rFonts w:eastAsia="Times New Roman" w:cs="Arial"/>
                <w:lang w:eastAsia="fr-CA"/>
              </w:rPr>
              <w:t xml:space="preserve">797,03 $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Elie Romanesky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162,61 $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Josée Crête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144,59 $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Stéfany</w:t>
            </w:r>
            <w:proofErr w:type="spellEnd"/>
            <w:r w:rsidRPr="001F5DCA">
              <w:rPr>
                <w:rFonts w:eastAsia="Times New Roman" w:cs="Arial"/>
                <w:lang w:eastAsia="fr-CA"/>
              </w:rPr>
              <w:t xml:space="preserve"> Breton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120,02 $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Marie-Ève Devost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74,03 $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Chantal Isabelle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106,00 $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val="en-CA" w:eastAsia="fr-CA"/>
              </w:rPr>
            </w:pPr>
            <w:r w:rsidRPr="001F5DCA">
              <w:rPr>
                <w:rFonts w:eastAsia="Times New Roman" w:cs="Arial"/>
                <w:lang w:val="en-CA" w:eastAsia="fr-CA"/>
              </w:rPr>
              <w:t>Holiday Inn Express &amp; Suites St-</w:t>
            </w:r>
            <w:proofErr w:type="spellStart"/>
            <w:r w:rsidRPr="001F5DCA">
              <w:rPr>
                <w:rFonts w:eastAsia="Times New Roman" w:cs="Arial"/>
                <w:lang w:val="en-CA" w:eastAsia="fr-CA"/>
              </w:rPr>
              <w:t>Hyacinthe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4</w:t>
            </w:r>
            <w:r w:rsidR="006E1FA1" w:rsidRPr="006E1FA1">
              <w:rPr>
                <w:rFonts w:eastAsia="Times New Roman" w:cs="Arial"/>
                <w:lang w:eastAsia="fr-CA"/>
              </w:rPr>
              <w:t xml:space="preserve"> </w:t>
            </w:r>
            <w:r w:rsidRPr="001F5DCA">
              <w:rPr>
                <w:rFonts w:eastAsia="Times New Roman" w:cs="Arial"/>
                <w:lang w:eastAsia="fr-CA"/>
              </w:rPr>
              <w:t xml:space="preserve">164,57 $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Andréanne Allard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135,85 $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27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Guillaume Hétu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129,30 $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27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Harmonie Inspiration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67,88 $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COCSPE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1</w:t>
            </w:r>
            <w:r w:rsidR="006E1FA1" w:rsidRPr="006E1FA1">
              <w:rPr>
                <w:rFonts w:eastAsia="Times New Roman" w:cs="Arial"/>
                <w:lang w:eastAsia="fr-CA"/>
              </w:rPr>
              <w:t xml:space="preserve"> </w:t>
            </w:r>
            <w:r w:rsidRPr="001F5DCA">
              <w:rPr>
                <w:rFonts w:eastAsia="Times New Roman" w:cs="Arial"/>
                <w:lang w:eastAsia="fr-CA"/>
              </w:rPr>
              <w:t xml:space="preserve">693,21 $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nov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COCSPE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</w:t>
            </w:r>
            <w:r w:rsidR="006E1FA1" w:rsidRPr="006E1FA1">
              <w:rPr>
                <w:rFonts w:eastAsia="Times New Roman" w:cs="Arial"/>
                <w:lang w:eastAsia="fr-CA"/>
              </w:rPr>
              <w:t xml:space="preserve"> </w:t>
            </w:r>
            <w:r w:rsidRPr="001F5DCA">
              <w:rPr>
                <w:rFonts w:eastAsia="Times New Roman" w:cs="Arial"/>
                <w:lang w:eastAsia="fr-CA"/>
              </w:rPr>
              <w:t xml:space="preserve">408,45 $ </w:t>
            </w:r>
          </w:p>
        </w:tc>
      </w:tr>
      <w:tr w:rsidR="006E1FA1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6E1FA1" w:rsidRDefault="006E1FA1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6E1FA1" w:rsidRDefault="006E1FA1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6E1FA1" w:rsidRDefault="006E1FA1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6E1FA1" w:rsidRDefault="006E1FA1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6E1FA1" w:rsidRDefault="006E1FA1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Mois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Date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Description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># chèque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80"/>
                <w:lang w:eastAsia="fr-CA"/>
              </w:rPr>
            </w:pPr>
            <w:r w:rsidRPr="001F5DCA">
              <w:rPr>
                <w:rFonts w:eastAsia="Times New Roman" w:cs="Arial"/>
                <w:b/>
                <w:bCs/>
                <w:color w:val="000080"/>
                <w:lang w:eastAsia="fr-CA"/>
              </w:rPr>
              <w:t xml:space="preserve"> Banque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déc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Gabrielle Ayotte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               279,79 $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déc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Daphné Bisson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158,56 $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déc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Services de cartes Desjardins</w:t>
            </w:r>
            <w:r w:rsidR="000E18E6">
              <w:rPr>
                <w:rFonts w:eastAsia="Times New Roman" w:cs="Arial"/>
                <w:lang w:eastAsia="fr-CA"/>
              </w:rPr>
              <w:t xml:space="preserve"> (</w:t>
            </w:r>
            <w:r w:rsidR="00293BF8">
              <w:rPr>
                <w:rFonts w:eastAsia="Times New Roman" w:cs="Arial"/>
                <w:lang w:eastAsia="fr-CA"/>
              </w:rPr>
              <w:t xml:space="preserve">incluant </w:t>
            </w:r>
            <w:r w:rsidR="000E18E6">
              <w:rPr>
                <w:rFonts w:eastAsia="Times New Roman" w:cs="Arial"/>
                <w:lang w:eastAsia="fr-CA"/>
              </w:rPr>
              <w:t>marge de crédit)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 10</w:t>
            </w:r>
            <w:r w:rsidR="006E1FA1">
              <w:rPr>
                <w:rFonts w:eastAsia="Times New Roman" w:cs="Arial"/>
                <w:lang w:eastAsia="fr-CA"/>
              </w:rPr>
              <w:t xml:space="preserve"> </w:t>
            </w:r>
            <w:r w:rsidRPr="001F5DCA">
              <w:rPr>
                <w:rFonts w:eastAsia="Times New Roman" w:cs="Arial"/>
                <w:lang w:eastAsia="fr-CA"/>
              </w:rPr>
              <w:t xml:space="preserve">829,62 $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déc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Josée Laforest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           750,00 $ </w:t>
            </w:r>
          </w:p>
        </w:tc>
      </w:tr>
      <w:tr w:rsidR="00293BF8" w:rsidRPr="006E1FA1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proofErr w:type="spellStart"/>
            <w:r w:rsidRPr="001F5DCA">
              <w:rPr>
                <w:rFonts w:eastAsia="Times New Roman" w:cs="Arial"/>
                <w:lang w:eastAsia="fr-CA"/>
              </w:rPr>
              <w:t>déc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RLSQ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>6660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CA" w:rsidRPr="001F5DCA" w:rsidRDefault="001F5DCA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  <w:r w:rsidRPr="001F5DCA">
              <w:rPr>
                <w:rFonts w:eastAsia="Times New Roman" w:cs="Arial"/>
                <w:lang w:eastAsia="fr-CA"/>
              </w:rPr>
              <w:t xml:space="preserve">        1</w:t>
            </w:r>
            <w:r w:rsidR="006E1FA1">
              <w:rPr>
                <w:rFonts w:eastAsia="Times New Roman" w:cs="Arial"/>
                <w:lang w:eastAsia="fr-CA"/>
              </w:rPr>
              <w:t xml:space="preserve"> </w:t>
            </w:r>
            <w:r w:rsidRPr="001F5DCA">
              <w:rPr>
                <w:rFonts w:eastAsia="Times New Roman" w:cs="Arial"/>
                <w:lang w:eastAsia="fr-CA"/>
              </w:rPr>
              <w:t xml:space="preserve">247,99 $ </w:t>
            </w:r>
          </w:p>
        </w:tc>
      </w:tr>
      <w:tr w:rsidR="006E1FA1" w:rsidRPr="001F5DCA" w:rsidTr="00293BF8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1F5DCA" w:rsidRDefault="006E1FA1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1F5DCA" w:rsidRDefault="006E1FA1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1F5DCA" w:rsidRDefault="006E1FA1" w:rsidP="006E1FA1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1F5DCA" w:rsidRDefault="006E1FA1" w:rsidP="006E1FA1">
            <w:pPr>
              <w:spacing w:after="0" w:line="240" w:lineRule="auto"/>
              <w:jc w:val="center"/>
              <w:rPr>
                <w:rFonts w:eastAsia="Times New Roman" w:cs="Arial"/>
                <w:lang w:eastAsia="fr-C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A1" w:rsidRPr="001F5DCA" w:rsidRDefault="006E1FA1" w:rsidP="006E1FA1">
            <w:pPr>
              <w:spacing w:after="0" w:line="240" w:lineRule="auto"/>
              <w:jc w:val="right"/>
              <w:rPr>
                <w:rFonts w:eastAsia="Times New Roman" w:cs="Arial"/>
                <w:lang w:eastAsia="fr-CA"/>
              </w:rPr>
            </w:pPr>
          </w:p>
        </w:tc>
      </w:tr>
    </w:tbl>
    <w:p w:rsidR="008E06F3" w:rsidRPr="001F5DCA" w:rsidRDefault="008E06F3"/>
    <w:sectPr w:rsidR="008E06F3" w:rsidRPr="001F5DCA" w:rsidSect="001F5DCA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CA"/>
    <w:rsid w:val="000E18E6"/>
    <w:rsid w:val="001F5DCA"/>
    <w:rsid w:val="00293BF8"/>
    <w:rsid w:val="0054148F"/>
    <w:rsid w:val="006E1FA1"/>
    <w:rsid w:val="008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948E-C454-4646-BE1A-780C1F23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3</cp:revision>
  <dcterms:created xsi:type="dcterms:W3CDTF">2018-01-15T16:28:00Z</dcterms:created>
  <dcterms:modified xsi:type="dcterms:W3CDTF">2018-01-15T16:54:00Z</dcterms:modified>
</cp:coreProperties>
</file>